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50" w:rsidRPr="00C9558B" w:rsidRDefault="003E3650" w:rsidP="003E3650">
      <w:pPr>
        <w:rPr>
          <w:b/>
        </w:rPr>
      </w:pPr>
      <w:r>
        <w:rPr>
          <w:b/>
        </w:rPr>
        <w:t xml:space="preserve">FDIC </w:t>
      </w:r>
      <w:r w:rsidRPr="00C9558B">
        <w:rPr>
          <w:b/>
        </w:rPr>
        <w:t>Large-Bank Deposit Insurance Determination Modernization</w:t>
      </w:r>
      <w:r>
        <w:rPr>
          <w:b/>
        </w:rPr>
        <w:t xml:space="preserve"> (</w:t>
      </w:r>
      <w:r w:rsidRPr="00EB65A9">
        <w:rPr>
          <w:b/>
        </w:rPr>
        <w:t>12 CFR § 360.9</w:t>
      </w:r>
      <w:r>
        <w:rPr>
          <w:b/>
        </w:rPr>
        <w:t>)</w:t>
      </w:r>
    </w:p>
    <w:p w:rsidR="003E3650" w:rsidRDefault="003E3650" w:rsidP="003E3650">
      <w:pPr>
        <w:rPr>
          <w:b/>
        </w:rPr>
      </w:pPr>
      <w:r w:rsidRPr="00C9558B">
        <w:rPr>
          <w:b/>
        </w:rPr>
        <w:t>Annual Questionnaire</w:t>
      </w:r>
      <w:r>
        <w:rPr>
          <w:b/>
        </w:rPr>
        <w:t xml:space="preserve">: </w:t>
      </w:r>
      <w:r w:rsidRPr="00C9558B">
        <w:rPr>
          <w:b/>
        </w:rPr>
        <w:t>For Test Year – 20</w:t>
      </w:r>
      <w:r>
        <w:rPr>
          <w:b/>
        </w:rPr>
        <w:t>15</w:t>
      </w:r>
      <w:r w:rsidRPr="00C9558B">
        <w:rPr>
          <w:b/>
        </w:rPr>
        <w:t xml:space="preserve"> (1/1/201</w:t>
      </w:r>
      <w:r>
        <w:rPr>
          <w:b/>
        </w:rPr>
        <w:t>5</w:t>
      </w:r>
      <w:r w:rsidRPr="00C9558B">
        <w:rPr>
          <w:b/>
        </w:rPr>
        <w:t xml:space="preserve"> – 12/31/201</w:t>
      </w:r>
      <w:r>
        <w:rPr>
          <w:b/>
        </w:rPr>
        <w:t>5</w:t>
      </w:r>
      <w:r w:rsidRPr="00C9558B">
        <w:rPr>
          <w:b/>
        </w:rPr>
        <w:t>)</w:t>
      </w:r>
    </w:p>
    <w:p w:rsidR="003E3650" w:rsidRPr="00496827" w:rsidRDefault="003E3650" w:rsidP="003E3650">
      <w:pPr>
        <w:rPr>
          <w:b/>
          <w:u w:val="single"/>
        </w:rPr>
      </w:pPr>
      <w:r w:rsidRPr="00496827">
        <w:rPr>
          <w:b/>
          <w:u w:val="single"/>
        </w:rPr>
        <w:t>Due date: March 31, 2016</w:t>
      </w:r>
    </w:p>
    <w:p w:rsidR="003E3650" w:rsidRDefault="003E3650" w:rsidP="003E3650"/>
    <w:tbl>
      <w:tblPr>
        <w:tblW w:w="979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633"/>
        <w:gridCol w:w="807"/>
        <w:gridCol w:w="4755"/>
      </w:tblGrid>
      <w:tr w:rsidR="003E3650" w:rsidTr="00496827">
        <w:tc>
          <w:tcPr>
            <w:tcW w:w="3600" w:type="dxa"/>
            <w:shd w:val="clear" w:color="auto" w:fill="F2F2F2" w:themeFill="background1" w:themeFillShade="F2"/>
          </w:tcPr>
          <w:p w:rsidR="003E3650" w:rsidRDefault="003E3650" w:rsidP="00496827">
            <w:r>
              <w:t>Covered Institution (CI) Name, FDIC Certificate #, City, State</w:t>
            </w:r>
          </w:p>
          <w:p w:rsidR="003E3650" w:rsidRDefault="003E3650" w:rsidP="000105B0"/>
        </w:tc>
        <w:tc>
          <w:tcPr>
            <w:tcW w:w="6195" w:type="dxa"/>
            <w:gridSpan w:val="3"/>
            <w:shd w:val="clear" w:color="auto" w:fill="auto"/>
          </w:tcPr>
          <w:p w:rsidR="003E3650" w:rsidRDefault="003E3650" w:rsidP="000105B0"/>
        </w:tc>
      </w:tr>
      <w:tr w:rsidR="003E3650" w:rsidTr="00496827">
        <w:tc>
          <w:tcPr>
            <w:tcW w:w="3600" w:type="dxa"/>
            <w:shd w:val="clear" w:color="auto" w:fill="F2F2F2" w:themeFill="background1" w:themeFillShade="F2"/>
          </w:tcPr>
          <w:p w:rsidR="003E3650" w:rsidRDefault="003E3650" w:rsidP="00496827">
            <w:r>
              <w:t xml:space="preserve">Primary Contact (Name, Title, Phone, e-mail).  </w:t>
            </w:r>
            <w:r w:rsidR="00496827">
              <w:t>Fill out a</w:t>
            </w:r>
            <w:r>
              <w:t>dditional contact information on page 2.</w:t>
            </w:r>
          </w:p>
        </w:tc>
        <w:tc>
          <w:tcPr>
            <w:tcW w:w="6195" w:type="dxa"/>
            <w:gridSpan w:val="3"/>
            <w:shd w:val="clear" w:color="auto" w:fill="auto"/>
          </w:tcPr>
          <w:p w:rsidR="003E3650" w:rsidRDefault="003E3650" w:rsidP="000105B0"/>
        </w:tc>
      </w:tr>
      <w:tr w:rsidR="003E3650" w:rsidTr="000105B0">
        <w:tc>
          <w:tcPr>
            <w:tcW w:w="9795" w:type="dxa"/>
            <w:gridSpan w:val="4"/>
            <w:shd w:val="clear" w:color="auto" w:fill="auto"/>
          </w:tcPr>
          <w:p w:rsidR="003E3650" w:rsidRDefault="003E3650" w:rsidP="000105B0">
            <w:r>
              <w:t xml:space="preserve">                                     </w:t>
            </w:r>
            <w:r w:rsidR="00496827">
              <w:t xml:space="preserve">                               [</w:t>
            </w:r>
            <w:r>
              <w:t>Yes/No</w:t>
            </w:r>
            <w:r w:rsidR="00496827">
              <w:t>]</w:t>
            </w:r>
            <w:r>
              <w:t xml:space="preserve">                Explanation for “Yes” answers</w:t>
            </w:r>
          </w:p>
        </w:tc>
      </w:tr>
      <w:tr w:rsidR="003E3650" w:rsidTr="00496827">
        <w:tc>
          <w:tcPr>
            <w:tcW w:w="4233" w:type="dxa"/>
            <w:gridSpan w:val="2"/>
            <w:shd w:val="clear" w:color="auto" w:fill="F2F2F2" w:themeFill="background1" w:themeFillShade="F2"/>
          </w:tcPr>
          <w:p w:rsidR="003E3650" w:rsidRDefault="003E3650" w:rsidP="000105B0">
            <w:r>
              <w:t>1. Does the CI operate in-house deposit systems maintained by bank staff?  If “Yes,” name system, application name, and version.</w:t>
            </w:r>
          </w:p>
        </w:tc>
        <w:tc>
          <w:tcPr>
            <w:tcW w:w="807" w:type="dxa"/>
            <w:shd w:val="clear" w:color="auto" w:fill="auto"/>
          </w:tcPr>
          <w:p w:rsidR="003E3650" w:rsidRDefault="003E3650" w:rsidP="000105B0"/>
        </w:tc>
        <w:tc>
          <w:tcPr>
            <w:tcW w:w="4755" w:type="dxa"/>
            <w:shd w:val="clear" w:color="auto" w:fill="auto"/>
          </w:tcPr>
          <w:p w:rsidR="003E3650" w:rsidRDefault="003E3650" w:rsidP="000105B0"/>
        </w:tc>
      </w:tr>
      <w:tr w:rsidR="003E3650" w:rsidTr="00496827">
        <w:tc>
          <w:tcPr>
            <w:tcW w:w="4233" w:type="dxa"/>
            <w:gridSpan w:val="2"/>
            <w:shd w:val="clear" w:color="auto" w:fill="F2F2F2" w:themeFill="background1" w:themeFillShade="F2"/>
          </w:tcPr>
          <w:p w:rsidR="003E3650" w:rsidRDefault="003E3650" w:rsidP="000105B0">
            <w:r>
              <w:t>2. Does the CI use a Technology Service Provider (TSP) system/application for deposit processing?  If “Yes,” name the TSP, system, application name, and version.</w:t>
            </w:r>
          </w:p>
        </w:tc>
        <w:tc>
          <w:tcPr>
            <w:tcW w:w="807" w:type="dxa"/>
            <w:shd w:val="clear" w:color="auto" w:fill="auto"/>
          </w:tcPr>
          <w:p w:rsidR="003E3650" w:rsidRDefault="003E3650" w:rsidP="000105B0"/>
        </w:tc>
        <w:tc>
          <w:tcPr>
            <w:tcW w:w="4755" w:type="dxa"/>
            <w:shd w:val="clear" w:color="auto" w:fill="auto"/>
          </w:tcPr>
          <w:p w:rsidR="003E3650" w:rsidRDefault="003E3650" w:rsidP="000105B0"/>
        </w:tc>
      </w:tr>
      <w:tr w:rsidR="003E3650" w:rsidTr="00496827">
        <w:tc>
          <w:tcPr>
            <w:tcW w:w="4233" w:type="dxa"/>
            <w:gridSpan w:val="2"/>
            <w:shd w:val="clear" w:color="auto" w:fill="F2F2F2" w:themeFill="background1" w:themeFillShade="F2"/>
          </w:tcPr>
          <w:p w:rsidR="003E3650" w:rsidRDefault="003E3650" w:rsidP="00496827">
            <w:r>
              <w:t>3. Did the CI have major changes on deposit systems during the year?</w:t>
            </w:r>
          </w:p>
          <w:p w:rsidR="00496827" w:rsidRDefault="00496827" w:rsidP="00496827"/>
        </w:tc>
        <w:tc>
          <w:tcPr>
            <w:tcW w:w="807" w:type="dxa"/>
            <w:shd w:val="clear" w:color="auto" w:fill="auto"/>
          </w:tcPr>
          <w:p w:rsidR="003E3650" w:rsidRDefault="003E3650" w:rsidP="000105B0"/>
        </w:tc>
        <w:tc>
          <w:tcPr>
            <w:tcW w:w="4755" w:type="dxa"/>
            <w:shd w:val="clear" w:color="auto" w:fill="auto"/>
          </w:tcPr>
          <w:p w:rsidR="003E3650" w:rsidRDefault="003E3650" w:rsidP="000105B0"/>
        </w:tc>
      </w:tr>
      <w:tr w:rsidR="003E3650" w:rsidTr="00496827">
        <w:tc>
          <w:tcPr>
            <w:tcW w:w="4233" w:type="dxa"/>
            <w:gridSpan w:val="2"/>
            <w:shd w:val="clear" w:color="auto" w:fill="F2F2F2" w:themeFill="background1" w:themeFillShade="F2"/>
          </w:tcPr>
          <w:p w:rsidR="00496827" w:rsidRDefault="003E3650" w:rsidP="00496827">
            <w:r>
              <w:t>4. Did the CI acquire/merge with another financial institution during the year? If “Yes,” did the CI convert all accounts onto existing deposit systems?</w:t>
            </w:r>
          </w:p>
        </w:tc>
        <w:tc>
          <w:tcPr>
            <w:tcW w:w="807" w:type="dxa"/>
            <w:shd w:val="clear" w:color="auto" w:fill="auto"/>
          </w:tcPr>
          <w:p w:rsidR="003E3650" w:rsidRDefault="003E3650" w:rsidP="000105B0"/>
        </w:tc>
        <w:tc>
          <w:tcPr>
            <w:tcW w:w="4755" w:type="dxa"/>
            <w:shd w:val="clear" w:color="auto" w:fill="auto"/>
          </w:tcPr>
          <w:p w:rsidR="003E3650" w:rsidRDefault="003E3650" w:rsidP="000105B0"/>
        </w:tc>
      </w:tr>
      <w:tr w:rsidR="003E3650" w:rsidTr="00496827">
        <w:tc>
          <w:tcPr>
            <w:tcW w:w="4233" w:type="dxa"/>
            <w:gridSpan w:val="2"/>
            <w:shd w:val="clear" w:color="auto" w:fill="F2F2F2" w:themeFill="background1" w:themeFillShade="F2"/>
          </w:tcPr>
          <w:p w:rsidR="00496827" w:rsidRDefault="003E3650" w:rsidP="00496827">
            <w:r>
              <w:t>5. Did the CI introduce new deposit or sweep investment products that have not been tested for compliance with the Rule?</w:t>
            </w:r>
          </w:p>
        </w:tc>
        <w:tc>
          <w:tcPr>
            <w:tcW w:w="807" w:type="dxa"/>
            <w:shd w:val="clear" w:color="auto" w:fill="auto"/>
          </w:tcPr>
          <w:p w:rsidR="003E3650" w:rsidRDefault="003E3650" w:rsidP="000105B0"/>
        </w:tc>
        <w:tc>
          <w:tcPr>
            <w:tcW w:w="4755" w:type="dxa"/>
            <w:shd w:val="clear" w:color="auto" w:fill="auto"/>
          </w:tcPr>
          <w:p w:rsidR="003E3650" w:rsidRDefault="003E3650" w:rsidP="000105B0"/>
        </w:tc>
      </w:tr>
      <w:tr w:rsidR="003E3650" w:rsidTr="00496827">
        <w:tc>
          <w:tcPr>
            <w:tcW w:w="4233" w:type="dxa"/>
            <w:gridSpan w:val="2"/>
            <w:shd w:val="clear" w:color="auto" w:fill="F2F2F2" w:themeFill="background1" w:themeFillShade="F2"/>
          </w:tcPr>
          <w:p w:rsidR="00496827" w:rsidRDefault="003E3650" w:rsidP="00496827">
            <w:r>
              <w:t>6. Did the CI have brokered deposits?  If “Yes,” name the system and number of brokers.</w:t>
            </w:r>
          </w:p>
        </w:tc>
        <w:tc>
          <w:tcPr>
            <w:tcW w:w="807" w:type="dxa"/>
            <w:shd w:val="clear" w:color="auto" w:fill="auto"/>
          </w:tcPr>
          <w:p w:rsidR="003E3650" w:rsidRDefault="003E3650" w:rsidP="000105B0"/>
        </w:tc>
        <w:tc>
          <w:tcPr>
            <w:tcW w:w="4755" w:type="dxa"/>
            <w:shd w:val="clear" w:color="auto" w:fill="auto"/>
          </w:tcPr>
          <w:p w:rsidR="003E3650" w:rsidRDefault="003E3650" w:rsidP="000105B0"/>
        </w:tc>
      </w:tr>
    </w:tbl>
    <w:p w:rsidR="003E3650" w:rsidRDefault="003E3650" w:rsidP="003E3650"/>
    <w:p w:rsidR="003E3650" w:rsidRDefault="003E3650" w:rsidP="003E3650"/>
    <w:p w:rsidR="003E3650" w:rsidRDefault="003E3650" w:rsidP="003E3650"/>
    <w:p w:rsidR="003E3650" w:rsidRDefault="003E3650" w:rsidP="003E3650">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-3810</wp:posOffset>
                </wp:positionH>
                <wp:positionV relativeFrom="paragraph">
                  <wp:posOffset>102869</wp:posOffset>
                </wp:positionV>
                <wp:extent cx="5467350" cy="0"/>
                <wp:effectExtent l="0" t="0" r="19050" b="19050"/>
                <wp:wrapNone/>
                <wp:docPr id="8" name="Lin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alt="line"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8.1pt" to="43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"/>
            </w:pict>
          </mc:Fallback>
        </mc:AlternateContent>
      </w:r>
    </w:p>
    <w:p w:rsidR="003E3650" w:rsidRPr="00C3548D" w:rsidRDefault="003E3650" w:rsidP="003E3650">
      <w:pPr>
        <w:rPr>
          <w:b/>
        </w:rPr>
      </w:pPr>
      <w:r>
        <w:rPr>
          <w:b/>
        </w:rPr>
        <w:t>Covered Institution Officer</w:t>
      </w:r>
      <w:r w:rsidRPr="00C3548D">
        <w:rPr>
          <w:b/>
        </w:rPr>
        <w:t xml:space="preserve"> Name &amp; Title</w:t>
      </w:r>
    </w:p>
    <w:p w:rsidR="003E3650" w:rsidRDefault="003E3650" w:rsidP="003E3650"/>
    <w:p w:rsidR="003E3650" w:rsidRDefault="003E3650" w:rsidP="003E3650"/>
    <w:p w:rsidR="003E3650" w:rsidRPr="009E4227" w:rsidRDefault="003E3650" w:rsidP="003E3650">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4084320</wp:posOffset>
                </wp:positionH>
                <wp:positionV relativeFrom="paragraph">
                  <wp:posOffset>155574</wp:posOffset>
                </wp:positionV>
                <wp:extent cx="1447800" cy="0"/>
                <wp:effectExtent l="0" t="0" r="19050" b="19050"/>
                <wp:wrapNone/>
                <wp:docPr id="7" name="Lin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alt="line"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6pt,12.25pt" to="43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"/>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716280</wp:posOffset>
                </wp:positionH>
                <wp:positionV relativeFrom="paragraph">
                  <wp:posOffset>150494</wp:posOffset>
                </wp:positionV>
                <wp:extent cx="2804160" cy="0"/>
                <wp:effectExtent l="0" t="0" r="15240" b="19050"/>
                <wp:wrapNone/>
                <wp:docPr id="6" name="Lin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4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alt="line"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pt,11.85pt" to="277.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"/>
            </w:pict>
          </mc:Fallback>
        </mc:AlternateContent>
      </w:r>
      <w:r w:rsidRPr="00C3548D">
        <w:rPr>
          <w:b/>
        </w:rPr>
        <w:t>Signature</w:t>
      </w:r>
      <w:r>
        <w:rPr>
          <w:b/>
        </w:rPr>
        <w:t>:</w:t>
      </w:r>
      <w:r>
        <w:t xml:space="preserve"> </w:t>
      </w:r>
      <w:r>
        <w:tab/>
      </w:r>
      <w:r>
        <w:tab/>
      </w:r>
      <w:r>
        <w:tab/>
      </w:r>
      <w:r>
        <w:tab/>
      </w:r>
      <w:r>
        <w:tab/>
      </w:r>
      <w:r>
        <w:tab/>
      </w:r>
      <w:r>
        <w:tab/>
        <w:t xml:space="preserve"> </w:t>
      </w:r>
      <w:r w:rsidRPr="00C3548D">
        <w:rPr>
          <w:b/>
        </w:rPr>
        <w:t>Date</w:t>
      </w:r>
      <w:r>
        <w:rPr>
          <w:b/>
        </w:rPr>
        <w:t xml:space="preserve">: </w:t>
      </w:r>
      <w:r>
        <w:tab/>
      </w:r>
    </w:p>
    <w:p w:rsidR="003E3650" w:rsidRDefault="003E3650" w:rsidP="003E3650"/>
    <w:p w:rsidR="003E3650" w:rsidRDefault="003E3650" w:rsidP="003E3650"/>
    <w:p w:rsidR="003E3650" w:rsidRPr="003E3650" w:rsidRDefault="003E3650" w:rsidP="003E3650">
      <w:pPr>
        <w:rPr>
          <w:i/>
        </w:rPr>
      </w:pPr>
      <w:r w:rsidRPr="003E3650">
        <w:rPr>
          <w:b/>
        </w:rPr>
        <w:lastRenderedPageBreak/>
        <w:t>Institution contacts</w:t>
      </w:r>
      <w:r>
        <w:rPr>
          <w:i/>
        </w:rPr>
        <w:t xml:space="preserve">. </w:t>
      </w:r>
      <w:r w:rsidRPr="003E3650">
        <w:rPr>
          <w:i/>
        </w:rPr>
        <w:t>The final rule requires a Covered Institution to notify the FDIC of the person(s) responsible for producing the standard deposit data download and administering provisional holds, both while this functionality is being constructed and on an on-going basis. The Covered Institution is responsible for ensuring such contact information is current.</w:t>
      </w:r>
    </w:p>
    <w:p w:rsidR="003E3650" w:rsidRDefault="003E3650" w:rsidP="003E3650"/>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Description w:val="table"/>
      </w:tblPr>
      <w:tblGrid>
        <w:gridCol w:w="3348"/>
        <w:gridCol w:w="6228"/>
      </w:tblGrid>
      <w:tr w:rsidR="003E3650" w:rsidTr="001A206D">
        <w:trPr>
          <w:trHeight w:val="483"/>
          <w:tblHeader/>
        </w:trPr>
        <w:tc>
          <w:tcPr>
            <w:tcW w:w="3348" w:type="dxa"/>
            <w:shd w:val="clear" w:color="auto" w:fill="F2F2F2" w:themeFill="background1" w:themeFillShade="F2"/>
            <w:vAlign w:val="center"/>
          </w:tcPr>
          <w:p w:rsidR="00496827" w:rsidRPr="00496827" w:rsidRDefault="00496827" w:rsidP="001A206D">
            <w:pPr>
              <w:pStyle w:val="Heading1"/>
            </w:pPr>
            <w:bookmarkStart w:id="0" w:name="_GoBack" w:colFirst="0" w:colLast="1"/>
            <w:r>
              <w:t>Point of Contact(s)</w:t>
            </w:r>
          </w:p>
        </w:tc>
        <w:tc>
          <w:tcPr>
            <w:tcW w:w="6228" w:type="dxa"/>
            <w:vAlign w:val="center"/>
          </w:tcPr>
          <w:p w:rsidR="003E3650" w:rsidRDefault="003E3650" w:rsidP="001A206D">
            <w:pPr>
              <w:pStyle w:val="Heading1"/>
            </w:pPr>
            <w:r>
              <w:t>Name, Title, Phone, e-mail</w:t>
            </w:r>
          </w:p>
        </w:tc>
      </w:tr>
      <w:bookmarkEnd w:id="0"/>
      <w:tr w:rsidR="003E3650" w:rsidTr="001A206D">
        <w:tc>
          <w:tcPr>
            <w:tcW w:w="3348" w:type="dxa"/>
            <w:shd w:val="clear" w:color="auto" w:fill="F2F2F2" w:themeFill="background1" w:themeFillShade="F2"/>
          </w:tcPr>
          <w:p w:rsidR="003E3650" w:rsidRPr="00496827" w:rsidRDefault="003E3650" w:rsidP="000105B0">
            <w:r w:rsidRPr="00496827">
              <w:t>Compliance</w:t>
            </w:r>
          </w:p>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tc>
        <w:tc>
          <w:tcPr>
            <w:tcW w:w="6228" w:type="dxa"/>
          </w:tcPr>
          <w:p w:rsidR="003E3650" w:rsidRDefault="003E3650" w:rsidP="000105B0"/>
        </w:tc>
      </w:tr>
      <w:tr w:rsidR="003E3650" w:rsidTr="001A206D">
        <w:tc>
          <w:tcPr>
            <w:tcW w:w="3348" w:type="dxa"/>
            <w:shd w:val="clear" w:color="auto" w:fill="F2F2F2" w:themeFill="background1" w:themeFillShade="F2"/>
          </w:tcPr>
          <w:p w:rsidR="003E3650" w:rsidRPr="00496827" w:rsidRDefault="003E3650" w:rsidP="000105B0">
            <w:r w:rsidRPr="00496827">
              <w:t>Information Technology</w:t>
            </w:r>
          </w:p>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tc>
        <w:tc>
          <w:tcPr>
            <w:tcW w:w="6228" w:type="dxa"/>
          </w:tcPr>
          <w:p w:rsidR="003E3650" w:rsidRDefault="003E3650" w:rsidP="000105B0"/>
        </w:tc>
      </w:tr>
      <w:tr w:rsidR="003E3650" w:rsidTr="001A206D">
        <w:tc>
          <w:tcPr>
            <w:tcW w:w="3348" w:type="dxa"/>
            <w:shd w:val="clear" w:color="auto" w:fill="F2F2F2" w:themeFill="background1" w:themeFillShade="F2"/>
          </w:tcPr>
          <w:p w:rsidR="003E3650" w:rsidRPr="00496827" w:rsidRDefault="003E3650" w:rsidP="000105B0">
            <w:r w:rsidRPr="00496827">
              <w:t>Deposit Operations</w:t>
            </w:r>
          </w:p>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tc>
        <w:tc>
          <w:tcPr>
            <w:tcW w:w="6228" w:type="dxa"/>
          </w:tcPr>
          <w:p w:rsidR="003E3650" w:rsidRDefault="003E3650" w:rsidP="000105B0"/>
        </w:tc>
      </w:tr>
      <w:tr w:rsidR="003E3650" w:rsidTr="001A206D">
        <w:tc>
          <w:tcPr>
            <w:tcW w:w="3348" w:type="dxa"/>
            <w:shd w:val="clear" w:color="auto" w:fill="F2F2F2" w:themeFill="background1" w:themeFillShade="F2"/>
          </w:tcPr>
          <w:p w:rsidR="003E3650" w:rsidRPr="00496827" w:rsidRDefault="003E3650" w:rsidP="000105B0">
            <w:r w:rsidRPr="00496827">
              <w:t>Technology Service Provider</w:t>
            </w:r>
          </w:p>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tc>
        <w:tc>
          <w:tcPr>
            <w:tcW w:w="6228" w:type="dxa"/>
          </w:tcPr>
          <w:p w:rsidR="003E3650" w:rsidRDefault="003E3650" w:rsidP="000105B0"/>
        </w:tc>
      </w:tr>
      <w:tr w:rsidR="003E3650" w:rsidTr="001A206D">
        <w:tc>
          <w:tcPr>
            <w:tcW w:w="3348" w:type="dxa"/>
            <w:shd w:val="clear" w:color="auto" w:fill="F2F2F2" w:themeFill="background1" w:themeFillShade="F2"/>
          </w:tcPr>
          <w:p w:rsidR="003E3650" w:rsidRPr="00496827" w:rsidRDefault="003E3650" w:rsidP="000105B0">
            <w:r w:rsidRPr="00496827">
              <w:t>Financial Reporting</w:t>
            </w:r>
          </w:p>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p w:rsidR="003E3650" w:rsidRPr="00496827" w:rsidRDefault="003E3650" w:rsidP="000105B0"/>
        </w:tc>
        <w:tc>
          <w:tcPr>
            <w:tcW w:w="6228" w:type="dxa"/>
          </w:tcPr>
          <w:p w:rsidR="003E3650" w:rsidRDefault="003E3650" w:rsidP="000105B0"/>
        </w:tc>
      </w:tr>
    </w:tbl>
    <w:p w:rsidR="008656F5" w:rsidRDefault="008656F5"/>
    <w:sectPr w:rsidR="008656F5">
      <w:footerReference w:type="default" r:id="rId8"/>
      <w:headerReference w:type="first" r:id="rId9"/>
      <w:footerReference w:type="first" r:id="rId10"/>
      <w:pgSz w:w="12240" w:h="15840" w:code="1"/>
      <w:pgMar w:top="1872" w:right="1440"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4F" w:rsidRDefault="00C34E4F">
      <w:r>
        <w:separator/>
      </w:r>
    </w:p>
  </w:endnote>
  <w:endnote w:type="continuationSeparator" w:id="0">
    <w:p w:rsidR="00C34E4F" w:rsidRDefault="00C3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50" w:rsidRDefault="003E3650" w:rsidP="003E3650">
    <w:pPr>
      <w:pStyle w:val="Footer"/>
      <w:pBdr>
        <w:top w:val="single" w:sz="4" w:space="1" w:color="D9D9D9"/>
      </w:pBdr>
      <w:rPr>
        <w:b/>
        <w:bCs/>
      </w:rPr>
    </w:pPr>
    <w:r>
      <w:fldChar w:fldCharType="begin"/>
    </w:r>
    <w:r>
      <w:instrText xml:space="preserve"> PAGE   \* MERGEFORMAT </w:instrText>
    </w:r>
    <w:r>
      <w:fldChar w:fldCharType="separate"/>
    </w:r>
    <w:r w:rsidR="001A206D" w:rsidRPr="001A206D">
      <w:rPr>
        <w:b/>
        <w:bCs/>
        <w:noProof/>
      </w:rPr>
      <w:t>2</w:t>
    </w:r>
    <w:r>
      <w:rPr>
        <w:b/>
        <w:bCs/>
        <w:noProof/>
      </w:rPr>
      <w:fldChar w:fldCharType="end"/>
    </w:r>
    <w:r>
      <w:rPr>
        <w:b/>
        <w:bCs/>
      </w:rPr>
      <w:t xml:space="preserve"> | </w:t>
    </w:r>
    <w:r w:rsidRPr="003E3650">
      <w:rPr>
        <w:color w:val="808080"/>
        <w:spacing w:val="60"/>
      </w:rPr>
      <w:t>Page</w:t>
    </w:r>
  </w:p>
  <w:p w:rsidR="003E3650" w:rsidRDefault="003E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50" w:rsidRDefault="003E3650" w:rsidP="003E3650">
    <w:pPr>
      <w:pStyle w:val="Footer"/>
      <w:pBdr>
        <w:top w:val="single" w:sz="4" w:space="1" w:color="D9D9D9"/>
      </w:pBdr>
      <w:rPr>
        <w:b/>
        <w:bCs/>
      </w:rPr>
    </w:pPr>
    <w:r>
      <w:fldChar w:fldCharType="begin"/>
    </w:r>
    <w:r>
      <w:instrText xml:space="preserve"> PAGE   \* MERGEFORMAT </w:instrText>
    </w:r>
    <w:r>
      <w:fldChar w:fldCharType="separate"/>
    </w:r>
    <w:r w:rsidR="001A206D" w:rsidRPr="001A206D">
      <w:rPr>
        <w:b/>
        <w:bCs/>
        <w:noProof/>
      </w:rPr>
      <w:t>1</w:t>
    </w:r>
    <w:r>
      <w:rPr>
        <w:b/>
        <w:bCs/>
        <w:noProof/>
      </w:rPr>
      <w:fldChar w:fldCharType="end"/>
    </w:r>
    <w:r>
      <w:rPr>
        <w:b/>
        <w:bCs/>
      </w:rPr>
      <w:t xml:space="preserve"> | </w:t>
    </w:r>
    <w:r w:rsidRPr="003E3650">
      <w:rPr>
        <w:color w:val="808080"/>
        <w:spacing w:val="60"/>
      </w:rPr>
      <w:t>Page</w:t>
    </w:r>
  </w:p>
  <w:p w:rsidR="003E3650" w:rsidRDefault="003E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4F" w:rsidRDefault="00C34E4F">
      <w:r>
        <w:separator/>
      </w:r>
    </w:p>
  </w:footnote>
  <w:footnote w:type="continuationSeparator" w:id="0">
    <w:p w:rsidR="00C34E4F" w:rsidRDefault="00C3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F5" w:rsidRDefault="003E3650">
    <w:pPr>
      <w:spacing w:line="203" w:lineRule="auto"/>
      <w:ind w:left="-346"/>
    </w:pPr>
    <w:bookmarkStart w:id="1" w:name="A1"/>
    <w:bookmarkEnd w:id="1"/>
    <w:r>
      <w:rPr>
        <w:noProof/>
      </w:rPr>
      <w:drawing>
        <wp:anchor distT="0" distB="0" distL="114300" distR="114300" simplePos="0" relativeHeight="251658752" behindDoc="1" locked="1" layoutInCell="0" allowOverlap="1">
          <wp:simplePos x="0" y="0"/>
          <wp:positionH relativeFrom="page">
            <wp:posOffset>887095</wp:posOffset>
          </wp:positionH>
          <wp:positionV relativeFrom="page">
            <wp:posOffset>274320</wp:posOffset>
          </wp:positionV>
          <wp:extent cx="914400" cy="374650"/>
          <wp:effectExtent l="0" t="0" r="0" b="6350"/>
          <wp:wrapNone/>
          <wp:docPr id="5" name="Picture 3" descr="fdi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ic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6F5" w:rsidRDefault="003E3650">
    <w:pPr>
      <w:spacing w:line="203" w:lineRule="auto"/>
      <w:ind w:left="-346"/>
    </w:pPr>
    <w:r>
      <w:rPr>
        <w:noProof/>
      </w:rPr>
      <mc:AlternateContent>
        <mc:Choice Requires="wps">
          <w:drawing>
            <wp:anchor distT="0" distB="0" distL="114300" distR="114300" simplePos="0" relativeHeight="251657728" behindDoc="0" locked="1" layoutInCell="0" allowOverlap="1">
              <wp:simplePos x="0" y="0"/>
              <wp:positionH relativeFrom="page">
                <wp:posOffset>895985</wp:posOffset>
              </wp:positionH>
              <wp:positionV relativeFrom="page">
                <wp:posOffset>1005840</wp:posOffset>
              </wp:positionV>
              <wp:extent cx="5897880" cy="0"/>
              <wp:effectExtent l="0" t="0" r="0" b="0"/>
              <wp:wrapNone/>
              <wp:docPr id="4"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alt="line"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" o:allowincell="f">
              <w10:wrap anchorx="page" anchory="page"/>
              <w10:anchorlock/>
            </v:line>
          </w:pict>
        </mc:Fallback>
      </mc:AlternateContent>
    </w:r>
  </w:p>
  <w:p w:rsidR="008656F5" w:rsidRDefault="008656F5">
    <w:pPr>
      <w:pStyle w:val="Header"/>
      <w:rPr>
        <w:rFonts w:ascii="Arial" w:hAnsi="Arial"/>
        <w:b/>
      </w:rPr>
    </w:pPr>
  </w:p>
  <w:p w:rsidR="008656F5" w:rsidRDefault="003E3650">
    <w:pPr>
      <w:pStyle w:val="Header"/>
      <w:rPr>
        <w:rFonts w:ascii="Arial" w:hAnsi="Arial"/>
        <w:b/>
      </w:rPr>
    </w:pPr>
    <w:r>
      <w:rPr>
        <w:rFonts w:ascii="Arial" w:hAnsi="Arial"/>
        <w:b/>
        <w:noProof/>
      </w:rPr>
      <mc:AlternateContent>
        <mc:Choice Requires="wps">
          <w:drawing>
            <wp:anchor distT="0" distB="0" distL="114300" distR="114300" simplePos="0" relativeHeight="251660800" behindDoc="0" locked="1" layoutInCell="1" allowOverlap="1">
              <wp:simplePos x="0" y="0"/>
              <wp:positionH relativeFrom="page">
                <wp:posOffset>4297680</wp:posOffset>
              </wp:positionH>
              <wp:positionV relativeFrom="page">
                <wp:posOffset>840740</wp:posOffset>
              </wp:positionV>
              <wp:extent cx="2560320" cy="1371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50" w:rsidRPr="003E3650" w:rsidRDefault="003E3650" w:rsidP="003E3650">
                          <w:pPr>
                            <w:jc w:val="right"/>
                            <w:rPr>
                              <w:rFonts w:ascii="Arial Narrow" w:hAnsi="Arial Narrow"/>
                              <w:sz w:val="18"/>
                            </w:rPr>
                          </w:pPr>
                          <w:r>
                            <w:rPr>
                              <w:rFonts w:ascii="Arial Narrow" w:hAnsi="Arial Narrow"/>
                              <w:sz w:val="18"/>
                            </w:rPr>
                            <w:t>Division of Resolutions and Receiverships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8.4pt;margin-top:66.2pt;width:201.6pt;height:1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" stroked="f">
              <v:textbox inset=",0,,0">
                <w:txbxContent>
                  <w:p w:rsidR="003E3650" w:rsidRPr="003E3650" w:rsidRDefault="003E3650" w:rsidP="003E3650">
                    <w:pPr>
                      <w:jc w:val="right"/>
                      <w:rPr>
                        <w:rFonts w:ascii="Arial Narrow" w:hAnsi="Arial Narrow"/>
                        <w:sz w:val="18"/>
                      </w:rPr>
                    </w:pPr>
                    <w:r>
                      <w:rPr>
                        <w:rFonts w:ascii="Arial Narrow" w:hAnsi="Arial Narrow"/>
                        <w:sz w:val="18"/>
                      </w:rPr>
                      <w:t>Division of Resolutions and Receiverships</w:t>
                    </w:r>
                  </w:p>
                </w:txbxContent>
              </v:textbox>
              <w10:wrap anchorx="page" anchory="page"/>
              <w10:anchorlock/>
            </v:shape>
          </w:pict>
        </mc:Fallback>
      </mc:AlternateContent>
    </w:r>
    <w:r>
      <w:rPr>
        <w:rFonts w:ascii="Arial" w:hAnsi="Arial"/>
        <w:b/>
        <w:noProof/>
      </w:rPr>
      <mc:AlternateContent>
        <mc:Choice Requires="wps">
          <w:drawing>
            <wp:anchor distT="0" distB="0" distL="114300" distR="114300" simplePos="0" relativeHeight="251659776" behindDoc="0" locked="1" layoutInCell="1" allowOverlap="1">
              <wp:simplePos x="0" y="0"/>
              <wp:positionH relativeFrom="page">
                <wp:posOffset>822960</wp:posOffset>
              </wp:positionH>
              <wp:positionV relativeFrom="page">
                <wp:posOffset>822325</wp:posOffset>
              </wp:positionV>
              <wp:extent cx="3566160" cy="137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50" w:rsidRPr="003E3650" w:rsidRDefault="003E3650">
                          <w:pPr>
                            <w:rPr>
                              <w:rFonts w:ascii="Arial Narrow" w:hAnsi="Arial Narrow"/>
                              <w:sz w:val="18"/>
                            </w:rPr>
                          </w:pPr>
                          <w:r>
                            <w:rPr>
                              <w:rFonts w:ascii="Arial Narrow" w:hAnsi="Arial Narrow"/>
                              <w:sz w:val="18"/>
                            </w:rPr>
                            <w:t>3501 Fairfax Drive, Arlington, VA  22226-3500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4.8pt;margin-top:64.75pt;width:280.8pt;height:1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RtfwIAAA4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" stroked="f">
              <v:textbox inset=",0,,0">
                <w:txbxContent>
                  <w:p w:rsidR="003E3650" w:rsidRPr="003E3650" w:rsidRDefault="003E3650">
                    <w:pPr>
                      <w:rPr>
                        <w:rFonts w:ascii="Arial Narrow" w:hAnsi="Arial Narrow"/>
                        <w:sz w:val="18"/>
                      </w:rPr>
                    </w:pPr>
                    <w:r>
                      <w:rPr>
                        <w:rFonts w:ascii="Arial Narrow" w:hAnsi="Arial Narrow"/>
                        <w:sz w:val="18"/>
                      </w:rPr>
                      <w:t>3501 Fairfax Drive, Arlington, VA  22226-3500</w:t>
                    </w:r>
                  </w:p>
                </w:txbxContent>
              </v:textbox>
              <w10:wrap anchorx="page" anchory="page"/>
              <w10:anchorlock/>
            </v:shape>
          </w:pict>
        </mc:Fallback>
      </mc:AlternateContent>
    </w:r>
  </w:p>
  <w:p w:rsidR="008656F5" w:rsidRDefault="003E3650">
    <w:pPr>
      <w:pStyle w:val="Header"/>
      <w:rPr>
        <w:rFonts w:ascii="Arial" w:hAnsi="Arial"/>
        <w:b/>
      </w:rPr>
    </w:pPr>
    <w:r>
      <w:rPr>
        <w:rFonts w:ascii="Arial" w:hAnsi="Arial"/>
        <w:b/>
        <w:noProof/>
      </w:rPr>
      <mc:AlternateContent>
        <mc:Choice Requires="wps">
          <w:drawing>
            <wp:anchor distT="0" distB="0" distL="114300" distR="114300" simplePos="0" relativeHeight="251656704" behindDoc="0" locked="1" layoutInCell="0" allowOverlap="1">
              <wp:simplePos x="0" y="0"/>
              <wp:positionH relativeFrom="page">
                <wp:posOffset>822960</wp:posOffset>
              </wp:positionH>
              <wp:positionV relativeFrom="page">
                <wp:posOffset>676910</wp:posOffset>
              </wp:positionV>
              <wp:extent cx="3173095" cy="1460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56F5" w:rsidRDefault="008656F5">
                          <w:pPr>
                            <w:rPr>
                              <w:rFonts w:ascii="Arial" w:hAnsi="Arial"/>
                              <w:b/>
                              <w:sz w:val="20"/>
                            </w:rPr>
                          </w:pPr>
                          <w:r>
                            <w:rPr>
                              <w:rFonts w:ascii="Arial" w:hAnsi="Arial"/>
                              <w:b/>
                              <w:sz w:val="20"/>
                            </w:rPr>
                            <w:t>Federal Deposit Insurance Corporation</w:t>
                          </w:r>
                        </w:p>
                      </w:txbxContent>
                    </wps:txbx>
                    <wps:bodyPr rot="0" vert="horz" wrap="square" lIns="63500" tIns="0" rIns="63500" bIns="0" anchor="t" anchorCtr="0">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4.8pt;margin-top:53.3pt;width:249.85pt;height: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" o:allowincell="f" filled="f" stroked="f">
              <v:textbox style="mso-fit-shape-to-text:t" inset="5pt,0,5pt,0">
                <w:txbxContent>
                  <w:p w:rsidR="008656F5" w:rsidRDefault="008656F5">
                    <w:pPr>
                      <w:rPr>
                        <w:rFonts w:ascii="Arial" w:hAnsi="Arial"/>
                        <w:b/>
                        <w:sz w:val="20"/>
                      </w:rPr>
                    </w:pPr>
                    <w:r>
                      <w:rPr>
                        <w:rFonts w:ascii="Arial" w:hAnsi="Arial"/>
                        <w:b/>
                        <w:sz w:val="20"/>
                      </w:rPr>
                      <w:t>Federal Deposit Insurance Corporation</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08CB56"/>
    <w:lvl w:ilvl="0">
      <w:start w:val="1"/>
      <w:numFmt w:val="decimal"/>
      <w:lvlText w:val="%1."/>
      <w:lvlJc w:val="left"/>
      <w:pPr>
        <w:tabs>
          <w:tab w:val="num" w:pos="1800"/>
        </w:tabs>
        <w:ind w:left="1800" w:hanging="360"/>
      </w:pPr>
    </w:lvl>
  </w:abstractNum>
  <w:abstractNum w:abstractNumId="1">
    <w:nsid w:val="FFFFFF7D"/>
    <w:multiLevelType w:val="singleLevel"/>
    <w:tmpl w:val="D960C0BE"/>
    <w:lvl w:ilvl="0">
      <w:start w:val="1"/>
      <w:numFmt w:val="decimal"/>
      <w:lvlText w:val="%1."/>
      <w:lvlJc w:val="left"/>
      <w:pPr>
        <w:tabs>
          <w:tab w:val="num" w:pos="1440"/>
        </w:tabs>
        <w:ind w:left="1440" w:hanging="360"/>
      </w:pPr>
    </w:lvl>
  </w:abstractNum>
  <w:abstractNum w:abstractNumId="2">
    <w:nsid w:val="FFFFFF7E"/>
    <w:multiLevelType w:val="singleLevel"/>
    <w:tmpl w:val="7A3A818E"/>
    <w:lvl w:ilvl="0">
      <w:start w:val="1"/>
      <w:numFmt w:val="decimal"/>
      <w:lvlText w:val="%1."/>
      <w:lvlJc w:val="left"/>
      <w:pPr>
        <w:tabs>
          <w:tab w:val="num" w:pos="1080"/>
        </w:tabs>
        <w:ind w:left="1080" w:hanging="360"/>
      </w:pPr>
    </w:lvl>
  </w:abstractNum>
  <w:abstractNum w:abstractNumId="3">
    <w:nsid w:val="FFFFFF7F"/>
    <w:multiLevelType w:val="singleLevel"/>
    <w:tmpl w:val="12C8EE3C"/>
    <w:lvl w:ilvl="0">
      <w:start w:val="1"/>
      <w:numFmt w:val="decimal"/>
      <w:lvlText w:val="%1."/>
      <w:lvlJc w:val="left"/>
      <w:pPr>
        <w:tabs>
          <w:tab w:val="num" w:pos="720"/>
        </w:tabs>
        <w:ind w:left="720" w:hanging="360"/>
      </w:pPr>
    </w:lvl>
  </w:abstractNum>
  <w:abstractNum w:abstractNumId="4">
    <w:nsid w:val="FFFFFF80"/>
    <w:multiLevelType w:val="singleLevel"/>
    <w:tmpl w:val="A1F491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F814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0C29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B023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C61818"/>
    <w:lvl w:ilvl="0">
      <w:start w:val="1"/>
      <w:numFmt w:val="decimal"/>
      <w:lvlText w:val="%1."/>
      <w:lvlJc w:val="left"/>
      <w:pPr>
        <w:tabs>
          <w:tab w:val="num" w:pos="360"/>
        </w:tabs>
        <w:ind w:left="360" w:hanging="360"/>
      </w:pPr>
    </w:lvl>
  </w:abstractNum>
  <w:abstractNum w:abstractNumId="9">
    <w:nsid w:val="FFFFFF89"/>
    <w:multiLevelType w:val="singleLevel"/>
    <w:tmpl w:val="9E849C7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50"/>
    <w:rsid w:val="00063E28"/>
    <w:rsid w:val="001A206D"/>
    <w:rsid w:val="003E3650"/>
    <w:rsid w:val="00496827"/>
    <w:rsid w:val="004F7CCE"/>
    <w:rsid w:val="008656F5"/>
    <w:rsid w:val="009661E1"/>
    <w:rsid w:val="00C34E4F"/>
    <w:rsid w:val="00F4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table" w:styleId="TableGrid">
    <w:name w:val="Table Grid"/>
    <w:basedOn w:val="TableNormal"/>
    <w:uiPriority w:val="59"/>
    <w:rsid w:val="003E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customStyle="1" w:styleId="FooterChar">
    <w:name w:val="Footer Char"/>
    <w:link w:val="Footer"/>
    <w:uiPriority w:val="99"/>
    <w:rsid w:val="003E365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table" w:styleId="TableGrid">
    <w:name w:val="Table Grid"/>
    <w:basedOn w:val="TableNormal"/>
    <w:uiPriority w:val="59"/>
    <w:rsid w:val="003E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customStyle="1" w:styleId="FooterChar">
    <w:name w:val="Footer Char"/>
    <w:link w:val="Footer"/>
    <w:uiPriority w:val="99"/>
    <w:rsid w:val="003E36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qian\appdata\roaming\microsoft\templates\FDIC%20Macros\letter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letterlogo</Template>
  <TotalTime>19</TotalTime>
  <Pages>2</Pages>
  <Words>246</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FDIC Macros Ver. 5.5</vt:lpstr>
    </vt:vector>
  </TitlesOfParts>
  <Manager>Andrew Roberts</Manager>
  <Company>FDIC</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FDIC Macros Ver. 5.5</dc:title>
  <dc:creator>Qian, Jin</dc:creator>
  <cp:lastModifiedBy>Meredith B. Harrington</cp:lastModifiedBy>
  <cp:revision>3</cp:revision>
  <cp:lastPrinted>1999-08-12T13:37:00Z</cp:lastPrinted>
  <dcterms:created xsi:type="dcterms:W3CDTF">2016-01-12T16:19:00Z</dcterms:created>
  <dcterms:modified xsi:type="dcterms:W3CDTF">2016-01-12T19:18:00Z</dcterms:modified>
</cp:coreProperties>
</file>